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C0" w:rsidRPr="003678C0" w:rsidRDefault="003678C0" w:rsidP="00367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678C0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14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678C0" w:rsidRPr="003678C0" w:rsidTr="00C60AF0">
        <w:trPr>
          <w:trHeight w:val="730"/>
        </w:trPr>
        <w:tc>
          <w:tcPr>
            <w:tcW w:w="10065" w:type="dxa"/>
            <w:gridSpan w:val="3"/>
          </w:tcPr>
          <w:p w:rsidR="003678C0" w:rsidRPr="003678C0" w:rsidRDefault="003678C0" w:rsidP="00367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0320" r="20320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3678C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367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3678C0" w:rsidRPr="003678C0" w:rsidRDefault="003678C0" w:rsidP="00367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78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3678C0" w:rsidRPr="003678C0" w:rsidTr="00C60AF0">
        <w:tc>
          <w:tcPr>
            <w:tcW w:w="4679" w:type="dxa"/>
          </w:tcPr>
          <w:p w:rsidR="003678C0" w:rsidRPr="003678C0" w:rsidRDefault="003678C0" w:rsidP="00367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3678C0" w:rsidRPr="003678C0" w:rsidRDefault="003678C0" w:rsidP="00367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3678C0" w:rsidRPr="003678C0" w:rsidRDefault="003678C0" w:rsidP="00367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78C0" w:rsidRPr="003678C0" w:rsidRDefault="003678C0" w:rsidP="003678C0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323232"/>
          <w:sz w:val="28"/>
          <w:szCs w:val="28"/>
        </w:rPr>
      </w:pPr>
    </w:p>
    <w:p w:rsidR="003678C0" w:rsidRPr="003678C0" w:rsidRDefault="003678C0" w:rsidP="003678C0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78C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3678C0" w:rsidRPr="003678C0" w:rsidRDefault="003678C0" w:rsidP="003678C0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678C0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32-5</w:t>
      </w:r>
    </w:p>
    <w:p w:rsidR="003678C0" w:rsidRPr="003678C0" w:rsidRDefault="003678C0" w:rsidP="003678C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678C0">
        <w:rPr>
          <w:rFonts w:ascii="Times New Roman" w:eastAsia="Calibri" w:hAnsi="Times New Roman" w:cs="Times New Roman"/>
          <w:sz w:val="28"/>
          <w:szCs w:val="28"/>
        </w:rPr>
        <w:t>с. Покровское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095"/>
      </w:tblGrid>
      <w:tr w:rsidR="003678C0" w:rsidRPr="003678C0" w:rsidTr="00C60AF0">
        <w:trPr>
          <w:jc w:val="center"/>
        </w:trPr>
        <w:tc>
          <w:tcPr>
            <w:tcW w:w="6095" w:type="dxa"/>
          </w:tcPr>
          <w:p w:rsidR="003678C0" w:rsidRPr="003678C0" w:rsidRDefault="003678C0" w:rsidP="003678C0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</w:pPr>
            <w:r w:rsidRPr="003678C0"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  <w:t>О назначении бухгалтера</w:t>
            </w:r>
          </w:p>
          <w:p w:rsidR="003678C0" w:rsidRPr="003678C0" w:rsidRDefault="003678C0" w:rsidP="003678C0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</w:pPr>
            <w:r w:rsidRPr="003678C0"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  <w:t>территориальной избирательной комиссии</w:t>
            </w:r>
          </w:p>
          <w:p w:rsidR="003678C0" w:rsidRPr="003678C0" w:rsidRDefault="003678C0" w:rsidP="003678C0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</w:pPr>
            <w:r w:rsidRPr="003678C0"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области.</w:t>
            </w:r>
          </w:p>
        </w:tc>
      </w:tr>
    </w:tbl>
    <w:p w:rsidR="003678C0" w:rsidRPr="003678C0" w:rsidRDefault="003678C0" w:rsidP="003678C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678C0" w:rsidRPr="003678C0" w:rsidRDefault="003678C0" w:rsidP="003678C0">
      <w:pPr>
        <w:spacing w:after="0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3678C0" w:rsidRPr="003678C0" w:rsidRDefault="003678C0" w:rsidP="003678C0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7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ст. 12 п. 10 Областного закона «О выборах глав муниципальных образований в Ростовской области» и  ст. 14 п. 6  Областного закона  «О выборах депутатов представительных органов муниципальных образований в Ростовской области»,</w:t>
      </w: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7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 Ростовской области  ПОСТАНОВЛЯЕТ:</w:t>
      </w: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распределения средств, выделенных на подготовку и проведение выборов глав и депутатов Собраний депутатов сельских поселений Неклиновского района назначить  бухгалтером территориальной избирательной комиссии Неклиновского района Ростовской области Авдеенко Людмилу Васильевну.</w:t>
      </w: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78C0" w:rsidRPr="003678C0" w:rsidRDefault="003678C0" w:rsidP="003678C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8C0" w:rsidRPr="003678C0" w:rsidRDefault="003678C0" w:rsidP="00367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комиссии</w:t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3678C0" w:rsidRDefault="003678C0">
      <w:bookmarkStart w:id="0" w:name="_GoBack"/>
      <w:bookmarkEnd w:id="0"/>
    </w:p>
    <w:sectPr w:rsidR="00367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971"/>
    <w:multiLevelType w:val="multilevel"/>
    <w:tmpl w:val="598A6726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C0"/>
    <w:rsid w:val="003678C0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2017-02-09T05:46:00Z</dcterms:created>
  <dcterms:modified xsi:type="dcterms:W3CDTF">2017-02-09T05:46:00Z</dcterms:modified>
</cp:coreProperties>
</file>